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64" w14:textId="77777777" w:rsidR="003828E0" w:rsidRDefault="003828E0" w:rsidP="00FF536B">
      <w:pPr>
        <w:pStyle w:val="NoSpacing"/>
      </w:pPr>
      <w:r w:rsidRPr="003828E0">
        <w:rPr>
          <w:noProof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6C74C80C">
            <wp:simplePos x="0" y="0"/>
            <wp:positionH relativeFrom="margin">
              <wp:posOffset>3200400</wp:posOffset>
            </wp:positionH>
            <wp:positionV relativeFrom="paragraph">
              <wp:posOffset>-613458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66F7D1E9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C02441">
        <w:rPr>
          <w:b/>
          <w:sz w:val="36"/>
          <w:szCs w:val="36"/>
        </w:rPr>
        <w:t>5</w:t>
      </w:r>
    </w:p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63F02B39" w14:textId="7D181386" w:rsidR="009477EC" w:rsidRDefault="00A62E39">
            <w:r w:rsidRPr="00EB2D8C">
              <w:rPr>
                <w:sz w:val="24"/>
                <w:szCs w:val="24"/>
              </w:rPr>
              <w:t>Duc d’Anville Elementary School</w:t>
            </w:r>
          </w:p>
        </w:tc>
      </w:tr>
    </w:tbl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A62E39" w14:paraId="1C58E976" w14:textId="77777777" w:rsidTr="009A5143">
              <w:tc>
                <w:tcPr>
                  <w:tcW w:w="4562" w:type="dxa"/>
                </w:tcPr>
                <w:p w14:paraId="2AB83909" w14:textId="68A995C4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Jane Newton, </w:t>
                  </w:r>
                  <w:r w:rsidR="00A65E66">
                    <w:rPr>
                      <w:sz w:val="24"/>
                      <w:szCs w:val="24"/>
                    </w:rPr>
                    <w:t xml:space="preserve">parent member, </w:t>
                  </w:r>
                  <w:r>
                    <w:rPr>
                      <w:sz w:val="24"/>
                      <w:szCs w:val="24"/>
                    </w:rPr>
                    <w:t>chair</w:t>
                  </w:r>
                </w:p>
                <w:p w14:paraId="7870DEBD" w14:textId="77777777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Dave Kilgour, parent member</w:t>
                  </w:r>
                </w:p>
                <w:p w14:paraId="1D1DFC03" w14:textId="77777777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Nicole Mosher, parent member, secretary</w:t>
                  </w:r>
                </w:p>
                <w:p w14:paraId="2259C29A" w14:textId="77777777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Nicholas Graham, community member</w:t>
                  </w:r>
                </w:p>
                <w:p w14:paraId="688B5AAB" w14:textId="77777777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Anne Martin, community member</w:t>
                  </w:r>
                </w:p>
              </w:tc>
              <w:tc>
                <w:tcPr>
                  <w:tcW w:w="4562" w:type="dxa"/>
                </w:tcPr>
                <w:p w14:paraId="66A2B57F" w14:textId="5F53E99A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Amy Weedon, Principal</w:t>
                  </w:r>
                  <w:r w:rsidR="00906E4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0BD0BD3" w14:textId="0CF9B091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Janet Roy, Vice Principal</w:t>
                  </w:r>
                  <w:r>
                    <w:rPr>
                      <w:sz w:val="24"/>
                      <w:szCs w:val="24"/>
                    </w:rPr>
                    <w:br/>
                    <w:t>Moira Marks, teacher</w:t>
                  </w:r>
                </w:p>
                <w:p w14:paraId="7F7B770A" w14:textId="77777777" w:rsidR="00A62E39" w:rsidRDefault="00A62E39" w:rsidP="00A62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Nancy Taylor, support staff</w:t>
                  </w:r>
                </w:p>
                <w:p w14:paraId="102C4257" w14:textId="77777777" w:rsidR="008E7482" w:rsidRDefault="008E7482" w:rsidP="008E74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Jeanna Wagner, teacher</w:t>
                  </w:r>
                </w:p>
                <w:p w14:paraId="3E92AF39" w14:textId="3F67993F" w:rsidR="00A62E39" w:rsidRDefault="00906E4C" w:rsidP="00CA0B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Jessica d</w:t>
                  </w:r>
                  <w:r w:rsidR="00531EC6">
                    <w:rPr>
                      <w:sz w:val="24"/>
                      <w:szCs w:val="24"/>
                    </w:rPr>
                    <w:t>eViller</w:t>
                  </w:r>
                  <w:r w:rsidR="009912C0">
                    <w:rPr>
                      <w:sz w:val="24"/>
                      <w:szCs w:val="24"/>
                    </w:rPr>
                    <w:t>, teacher</w:t>
                  </w:r>
                </w:p>
              </w:tc>
            </w:tr>
          </w:tbl>
          <w:p w14:paraId="12D4E0C7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4D2E8D8B" w14:textId="633365A1" w:rsidR="00E54079" w:rsidRPr="001D7ABD" w:rsidRDefault="00C619EC" w:rsidP="001D7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work on improving literacy rates at our school, the SAC approved the purchase of literacy kits (UFLI and </w:t>
            </w:r>
            <w:r w:rsidR="008E7482">
              <w:rPr>
                <w:sz w:val="24"/>
                <w:szCs w:val="24"/>
              </w:rPr>
              <w:t>Story Champs</w:t>
            </w:r>
            <w:r>
              <w:rPr>
                <w:sz w:val="24"/>
                <w:szCs w:val="24"/>
              </w:rPr>
              <w:t>) requested by our principal. We also discussed ways to improve written literacy scores and writing stamina, such as doing writing assignments on paper rather than Chromebooks and using classroom timers.</w:t>
            </w:r>
            <w:r w:rsidR="001E48E0">
              <w:rPr>
                <w:sz w:val="24"/>
                <w:szCs w:val="24"/>
              </w:rPr>
              <w:t xml:space="preserve"> </w:t>
            </w:r>
            <w:r w:rsidR="009912C0">
              <w:rPr>
                <w:sz w:val="24"/>
                <w:szCs w:val="24"/>
              </w:rPr>
              <w:t xml:space="preserve">We also purchased some science materials to enhance </w:t>
            </w:r>
            <w:r w:rsidR="00531EC6">
              <w:rPr>
                <w:sz w:val="24"/>
                <w:szCs w:val="24"/>
              </w:rPr>
              <w:t>hands-on opportunities for students.</w:t>
            </w: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618F7FA7" w14:textId="07D25CA3" w:rsidR="001D7ABD" w:rsidRDefault="001D7ABD" w:rsidP="001D7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4F764D">
              <w:rPr>
                <w:sz w:val="24"/>
                <w:szCs w:val="24"/>
              </w:rPr>
              <w:t xml:space="preserve">“whole </w:t>
            </w:r>
            <w:r>
              <w:rPr>
                <w:sz w:val="24"/>
                <w:szCs w:val="24"/>
              </w:rPr>
              <w:t>school</w:t>
            </w:r>
            <w:r w:rsidR="004F764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rules and a corresponding “student of the month” program were created this year</w:t>
            </w:r>
            <w:r w:rsidR="003910D8">
              <w:rPr>
                <w:sz w:val="24"/>
                <w:szCs w:val="24"/>
              </w:rPr>
              <w:t xml:space="preserve"> and have</w:t>
            </w:r>
            <w:r>
              <w:rPr>
                <w:sz w:val="24"/>
                <w:szCs w:val="24"/>
              </w:rPr>
              <w:t xml:space="preserve"> been very positively received by teachers, students and parents. </w:t>
            </w:r>
          </w:p>
          <w:p w14:paraId="23F74E9C" w14:textId="77777777" w:rsidR="001D7ABD" w:rsidRDefault="001D7ABD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68A5DDFE" w:rsidR="001D7ABD" w:rsidRPr="003828E0" w:rsidRDefault="004F764D" w:rsidP="001D7A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r w:rsidR="001D7ABD">
              <w:rPr>
                <w:sz w:val="24"/>
                <w:szCs w:val="24"/>
              </w:rPr>
              <w:t>equity team</w:t>
            </w:r>
            <w:r>
              <w:rPr>
                <w:sz w:val="24"/>
                <w:szCs w:val="24"/>
              </w:rPr>
              <w:t xml:space="preserve"> was created to respond to equity-related violations of the code of conduct to ensure that incidents are handled promptly and appropriately. </w:t>
            </w: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15622E24" w14:textId="020CC82A" w:rsidR="003828E0" w:rsidRPr="00CA0B55" w:rsidRDefault="00E56409" w:rsidP="00531EC6">
            <w:pPr>
              <w:rPr>
                <w:sz w:val="24"/>
                <w:szCs w:val="24"/>
              </w:rPr>
            </w:pPr>
            <w:r w:rsidRPr="00E56409">
              <w:rPr>
                <w:sz w:val="24"/>
                <w:szCs w:val="24"/>
              </w:rPr>
              <w:t xml:space="preserve">Funding to purchase an additional piece of playground equipment </w:t>
            </w:r>
            <w:r>
              <w:rPr>
                <w:sz w:val="24"/>
                <w:szCs w:val="24"/>
              </w:rPr>
              <w:t>as well as sports equipment for students to use at recess and lunchtime was obtained from our HRM Regional Councillor. This equipment will help us</w:t>
            </w:r>
            <w:r w:rsidR="00531EC6">
              <w:rPr>
                <w:sz w:val="24"/>
                <w:szCs w:val="24"/>
              </w:rPr>
              <w:t xml:space="preserve"> support </w:t>
            </w:r>
            <w:r>
              <w:rPr>
                <w:sz w:val="24"/>
                <w:szCs w:val="24"/>
              </w:rPr>
              <w:t>our well-being goal</w:t>
            </w:r>
            <w:r w:rsidR="00CA0B55">
              <w:rPr>
                <w:sz w:val="24"/>
                <w:szCs w:val="24"/>
              </w:rPr>
              <w:t xml:space="preserve"> by </w:t>
            </w:r>
            <w:r>
              <w:rPr>
                <w:sz w:val="24"/>
                <w:szCs w:val="24"/>
              </w:rPr>
              <w:t>giv</w:t>
            </w:r>
            <w:r w:rsidR="00CA0B55">
              <w:rPr>
                <w:sz w:val="24"/>
                <w:szCs w:val="24"/>
              </w:rPr>
              <w:t xml:space="preserve">ing </w:t>
            </w:r>
            <w:r>
              <w:rPr>
                <w:sz w:val="24"/>
                <w:szCs w:val="24"/>
              </w:rPr>
              <w:t xml:space="preserve">students </w:t>
            </w:r>
            <w:r w:rsidR="00CA0B55">
              <w:rPr>
                <w:sz w:val="24"/>
                <w:szCs w:val="24"/>
              </w:rPr>
              <w:t xml:space="preserve">opportunities to engage with each other, working on conflict resolution and other social skills, while </w:t>
            </w:r>
            <w:r w:rsidR="000E3143">
              <w:rPr>
                <w:sz w:val="24"/>
                <w:szCs w:val="24"/>
              </w:rPr>
              <w:t>remain</w:t>
            </w:r>
            <w:r w:rsidR="00CA0B55">
              <w:rPr>
                <w:sz w:val="24"/>
                <w:szCs w:val="24"/>
              </w:rPr>
              <w:t>ing</w:t>
            </w:r>
            <w:r w:rsidR="000E3143">
              <w:rPr>
                <w:sz w:val="24"/>
                <w:szCs w:val="24"/>
              </w:rPr>
              <w:t xml:space="preserve"> active </w:t>
            </w:r>
            <w:r>
              <w:rPr>
                <w:sz w:val="24"/>
                <w:szCs w:val="24"/>
              </w:rPr>
              <w:t>during their outside time</w:t>
            </w:r>
            <w:r w:rsidR="00CA0B55">
              <w:rPr>
                <w:sz w:val="24"/>
                <w:szCs w:val="24"/>
              </w:rPr>
              <w:t>.  This ultimately leads to a more positive learning environment.</w:t>
            </w:r>
          </w:p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18F99A51" w14:textId="26B798FC" w:rsidR="00E54079" w:rsidRDefault="001E48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UFLI</w:t>
            </w:r>
            <w:r w:rsidR="00E54079">
              <w:rPr>
                <w:sz w:val="24"/>
                <w:szCs w:val="24"/>
              </w:rPr>
              <w:t xml:space="preserve"> </w:t>
            </w:r>
            <w:r w:rsidR="00906E4C">
              <w:rPr>
                <w:sz w:val="24"/>
                <w:szCs w:val="24"/>
              </w:rPr>
              <w:t>li</w:t>
            </w:r>
            <w:r w:rsidR="00E54079">
              <w:rPr>
                <w:sz w:val="24"/>
                <w:szCs w:val="24"/>
              </w:rPr>
              <w:t xml:space="preserve">teracy </w:t>
            </w:r>
            <w:r w:rsidR="00906E4C">
              <w:rPr>
                <w:sz w:val="24"/>
                <w:szCs w:val="24"/>
              </w:rPr>
              <w:t>manuals</w:t>
            </w:r>
            <w:r w:rsidR="00E54079">
              <w:rPr>
                <w:sz w:val="24"/>
                <w:szCs w:val="24"/>
              </w:rPr>
              <w:t>: $629.994</w:t>
            </w:r>
          </w:p>
          <w:p w14:paraId="3013889C" w14:textId="00927FCF" w:rsidR="00E54079" w:rsidRDefault="003851B3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Champs</w:t>
            </w:r>
            <w:r w:rsidR="00E54079">
              <w:rPr>
                <w:sz w:val="24"/>
                <w:szCs w:val="24"/>
              </w:rPr>
              <w:t xml:space="preserve"> literacy kits: $673.55 (USD)</w:t>
            </w:r>
          </w:p>
          <w:p w14:paraId="3EF927B7" w14:textId="1B901CB7" w:rsidR="00FF010C" w:rsidRDefault="00906E4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F010C">
              <w:rPr>
                <w:sz w:val="24"/>
                <w:szCs w:val="24"/>
              </w:rPr>
              <w:t xml:space="preserve">lassroom </w:t>
            </w:r>
            <w:r>
              <w:rPr>
                <w:sz w:val="24"/>
                <w:szCs w:val="24"/>
              </w:rPr>
              <w:t>T</w:t>
            </w:r>
            <w:r w:rsidR="00FF010C">
              <w:rPr>
                <w:sz w:val="24"/>
                <w:szCs w:val="24"/>
              </w:rPr>
              <w:t>imers</w:t>
            </w:r>
            <w:r>
              <w:rPr>
                <w:sz w:val="24"/>
                <w:szCs w:val="24"/>
              </w:rPr>
              <w:t>:</w:t>
            </w:r>
            <w:r w:rsidR="00E24B27">
              <w:rPr>
                <w:sz w:val="24"/>
                <w:szCs w:val="24"/>
              </w:rPr>
              <w:t xml:space="preserve"> $418.95</w:t>
            </w:r>
          </w:p>
          <w:p w14:paraId="5CDCE8E5" w14:textId="3886A55D" w:rsidR="00E24B27" w:rsidRDefault="00E24B27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Materials: $114</w:t>
            </w:r>
            <w:r w:rsidR="001D067C">
              <w:rPr>
                <w:sz w:val="24"/>
                <w:szCs w:val="24"/>
              </w:rPr>
              <w:t>.47</w:t>
            </w:r>
          </w:p>
          <w:p w14:paraId="487BF608" w14:textId="190FD850" w:rsidR="00E56409" w:rsidRDefault="001E48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end-of-year class trips</w:t>
            </w:r>
            <w:r w:rsidR="00E54079">
              <w:rPr>
                <w:sz w:val="24"/>
                <w:szCs w:val="24"/>
              </w:rPr>
              <w:t xml:space="preserve"> (buses and admission fees): TBD</w:t>
            </w:r>
          </w:p>
          <w:p w14:paraId="52A4B898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77777777" w:rsidR="003828E0" w:rsidRDefault="003828E0" w:rsidP="009477EC">
            <w:pPr>
              <w:jc w:val="both"/>
              <w:rPr>
                <w:sz w:val="24"/>
                <w:szCs w:val="24"/>
              </w:rPr>
            </w:pPr>
          </w:p>
          <w:p w14:paraId="49DE55EC" w14:textId="77777777" w:rsidR="009477EC" w:rsidRDefault="001E48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41F188B2" w14:textId="69036A3D" w:rsidR="001E48E0" w:rsidRDefault="001E48E0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77777777" w:rsidR="003828E0" w:rsidRDefault="003828E0">
            <w:pPr>
              <w:rPr>
                <w:sz w:val="24"/>
                <w:szCs w:val="24"/>
              </w:rPr>
            </w:pPr>
          </w:p>
          <w:p w14:paraId="566DC805" w14:textId="77777777" w:rsidR="009477EC" w:rsidRDefault="001E4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7E6E5F19" w14:textId="1F98605D" w:rsidR="001E48E0" w:rsidRDefault="001E48E0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0E543D3D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</w:t>
      </w:r>
      <w:r w:rsidR="00C02441">
        <w:t>6</w:t>
      </w:r>
      <w:r w:rsidR="00B816C6">
        <w:t>, 202</w:t>
      </w:r>
      <w:r w:rsidR="00C02441">
        <w:t>5</w:t>
      </w:r>
      <w:r w:rsidRPr="00A47558">
        <w:t>. Thank you.</w:t>
      </w:r>
    </w:p>
    <w:sectPr w:rsidR="00A47558" w:rsidRPr="00A47558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D853" w14:textId="77777777" w:rsidR="005A0DEC" w:rsidRDefault="005A0DEC" w:rsidP="009477EC">
      <w:pPr>
        <w:spacing w:after="0" w:line="240" w:lineRule="auto"/>
      </w:pPr>
      <w:r>
        <w:separator/>
      </w:r>
    </w:p>
  </w:endnote>
  <w:endnote w:type="continuationSeparator" w:id="0">
    <w:p w14:paraId="3D5ADEC3" w14:textId="77777777" w:rsidR="005A0DEC" w:rsidRDefault="005A0DEC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1273" w14:textId="77777777" w:rsidR="005A0DEC" w:rsidRDefault="005A0DEC" w:rsidP="009477EC">
      <w:pPr>
        <w:spacing w:after="0" w:line="240" w:lineRule="auto"/>
      </w:pPr>
      <w:r>
        <w:separator/>
      </w:r>
    </w:p>
  </w:footnote>
  <w:footnote w:type="continuationSeparator" w:id="0">
    <w:p w14:paraId="244C6454" w14:textId="77777777" w:rsidR="005A0DEC" w:rsidRDefault="005A0DEC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F36C2"/>
    <w:multiLevelType w:val="hybridMultilevel"/>
    <w:tmpl w:val="75BAD484"/>
    <w:lvl w:ilvl="0" w:tplc="67BAEA84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E0"/>
    <w:rsid w:val="000E3143"/>
    <w:rsid w:val="00133F57"/>
    <w:rsid w:val="001D067C"/>
    <w:rsid w:val="001D7ABD"/>
    <w:rsid w:val="001E48E0"/>
    <w:rsid w:val="002277F9"/>
    <w:rsid w:val="0030505B"/>
    <w:rsid w:val="003828E0"/>
    <w:rsid w:val="003851B3"/>
    <w:rsid w:val="003910D8"/>
    <w:rsid w:val="004168D9"/>
    <w:rsid w:val="004F764D"/>
    <w:rsid w:val="00531EC6"/>
    <w:rsid w:val="00533D35"/>
    <w:rsid w:val="005A0DEC"/>
    <w:rsid w:val="005B5AED"/>
    <w:rsid w:val="0062379C"/>
    <w:rsid w:val="0063650E"/>
    <w:rsid w:val="00701F95"/>
    <w:rsid w:val="008151D9"/>
    <w:rsid w:val="008E7482"/>
    <w:rsid w:val="00906E4C"/>
    <w:rsid w:val="00915A6F"/>
    <w:rsid w:val="009317AC"/>
    <w:rsid w:val="00934A1B"/>
    <w:rsid w:val="009477EC"/>
    <w:rsid w:val="009912C0"/>
    <w:rsid w:val="009B7F25"/>
    <w:rsid w:val="009C3FF6"/>
    <w:rsid w:val="00A47558"/>
    <w:rsid w:val="00A62E39"/>
    <w:rsid w:val="00A65E66"/>
    <w:rsid w:val="00B816C6"/>
    <w:rsid w:val="00C02441"/>
    <w:rsid w:val="00C619EC"/>
    <w:rsid w:val="00CA0B55"/>
    <w:rsid w:val="00DC32E6"/>
    <w:rsid w:val="00E22A3B"/>
    <w:rsid w:val="00E24B27"/>
    <w:rsid w:val="00E54079"/>
    <w:rsid w:val="00E56409"/>
    <w:rsid w:val="00E67127"/>
    <w:rsid w:val="00EA10CB"/>
    <w:rsid w:val="00FE214A"/>
    <w:rsid w:val="00FF010C"/>
    <w:rsid w:val="00FF536B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3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hrce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11" ma:contentTypeDescription="Create a new document." ma:contentTypeScope="" ma:versionID="95ea73a3fed095d0f1e23d315e7443e3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784c51000bd5409c93191bd5bc6449c8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Props1.xml><?xml version="1.0" encoding="utf-8"?>
<ds:datastoreItem xmlns:ds="http://schemas.openxmlformats.org/officeDocument/2006/customXml" ds:itemID="{1D94392F-6D34-4105-9911-5F10EA060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6D5B3-456C-4B83-BE08-50056168D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8C45-ED4F-41FD-A4AB-97AD84034730}">
  <ds:schemaRefs>
    <ds:schemaRef ds:uri="http://schemas.microsoft.com/office/2006/metadata/properties"/>
    <ds:schemaRef ds:uri="http://schemas.microsoft.com/office/infopath/2007/PartnerControls"/>
    <ds:schemaRef ds:uri="56a59caa-94ab-41db-8ee6-a95f5a981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Weedon, Amy</cp:lastModifiedBy>
  <cp:revision>4</cp:revision>
  <cp:lastPrinted>2019-05-31T17:21:00Z</cp:lastPrinted>
  <dcterms:created xsi:type="dcterms:W3CDTF">2025-06-02T17:39:00Z</dcterms:created>
  <dcterms:modified xsi:type="dcterms:W3CDTF">2025-06-02T17:41:00Z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